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tblInd w:w="5" w:type="dxa"/>
        <w:tblCellMar>
          <w:top w:w="2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6662"/>
      </w:tblGrid>
      <w:tr w:rsidR="00552A56" w14:paraId="31580289" w14:textId="77777777" w:rsidTr="00F84CCD">
        <w:trPr>
          <w:trHeight w:val="305"/>
        </w:trPr>
        <w:tc>
          <w:tcPr>
            <w:tcW w:w="26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9CC2E5" w:themeColor="accent1" w:themeTint="99"/>
              <w:right w:val="single" w:sz="4" w:space="0" w:color="BDD6EE" w:themeColor="accent1" w:themeTint="66"/>
            </w:tcBorders>
            <w:shd w:val="clear" w:color="auto" w:fill="C5E0B3" w:themeFill="accent6" w:themeFillTint="66"/>
          </w:tcPr>
          <w:p w14:paraId="57C3C4A4" w14:textId="4BFB00FE" w:rsidR="00552A56" w:rsidRDefault="00A63137" w:rsidP="008F7B5F">
            <w:pPr>
              <w:spacing w:after="0" w:line="259" w:lineRule="auto"/>
              <w:ind w:left="0" w:firstLine="0"/>
            </w:pPr>
            <w:r>
              <w:rPr>
                <w:b/>
              </w:rPr>
              <w:t>Assessment 1</w:t>
            </w:r>
          </w:p>
        </w:tc>
        <w:tc>
          <w:tcPr>
            <w:tcW w:w="66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9CC2E5" w:themeColor="accent1" w:themeTint="99"/>
              <w:right w:val="single" w:sz="4" w:space="0" w:color="BDD6EE" w:themeColor="accent1" w:themeTint="66"/>
            </w:tcBorders>
            <w:shd w:val="clear" w:color="auto" w:fill="C5E0B3" w:themeFill="accent6" w:themeFillTint="66"/>
          </w:tcPr>
          <w:p w14:paraId="0C5B9B0D" w14:textId="77777777" w:rsidR="00552A56" w:rsidRPr="001C005F" w:rsidRDefault="00552A56" w:rsidP="008F7B5F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Reflection – Sociological Imagination</w:t>
            </w:r>
          </w:p>
        </w:tc>
      </w:tr>
      <w:tr w:rsidR="00552A56" w14:paraId="4C8DA1B0" w14:textId="77777777" w:rsidTr="00F84CCD">
        <w:trPr>
          <w:trHeight w:val="290"/>
        </w:trPr>
        <w:tc>
          <w:tcPr>
            <w:tcW w:w="2684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1866202F" w14:textId="77777777" w:rsidR="00552A56" w:rsidRDefault="00552A56" w:rsidP="008F7B5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Weight </w:t>
            </w:r>
          </w:p>
        </w:tc>
        <w:tc>
          <w:tcPr>
            <w:tcW w:w="6662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20ED5975" w14:textId="77777777" w:rsidR="00552A56" w:rsidRDefault="00552A56" w:rsidP="008F7B5F">
            <w:pPr>
              <w:spacing w:after="0" w:line="259" w:lineRule="auto"/>
              <w:ind w:left="0" w:firstLine="0"/>
            </w:pPr>
            <w:r>
              <w:t>20%</w:t>
            </w:r>
          </w:p>
        </w:tc>
      </w:tr>
      <w:tr w:rsidR="00552A56" w14:paraId="38EC8334" w14:textId="77777777" w:rsidTr="00F84CCD">
        <w:trPr>
          <w:trHeight w:val="550"/>
        </w:trPr>
        <w:tc>
          <w:tcPr>
            <w:tcW w:w="26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03843E8" w14:textId="77777777" w:rsidR="00552A56" w:rsidRDefault="00552A56" w:rsidP="008F7B5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Due </w:t>
            </w:r>
          </w:p>
        </w:tc>
        <w:tc>
          <w:tcPr>
            <w:tcW w:w="66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991C984" w14:textId="62086850" w:rsidR="00552A56" w:rsidRDefault="00552A56" w:rsidP="008F7B5F">
            <w:pPr>
              <w:spacing w:after="0" w:line="259" w:lineRule="auto"/>
              <w:ind w:left="0" w:firstLine="0"/>
            </w:pPr>
            <w:r>
              <w:t>2</w:t>
            </w:r>
            <w:r w:rsidR="000A1399">
              <w:t>0</w:t>
            </w:r>
            <w:r>
              <w:t xml:space="preserve"> August 202</w:t>
            </w:r>
            <w:r w:rsidR="000A1399">
              <w:t xml:space="preserve">3 midnight </w:t>
            </w:r>
          </w:p>
        </w:tc>
      </w:tr>
      <w:tr w:rsidR="00552A56" w14:paraId="5AD8CF12" w14:textId="77777777" w:rsidTr="00F84CCD">
        <w:trPr>
          <w:trHeight w:val="281"/>
        </w:trPr>
        <w:tc>
          <w:tcPr>
            <w:tcW w:w="26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64723739" w14:textId="77777777" w:rsidR="00552A56" w:rsidRDefault="00552A56" w:rsidP="008F7B5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Submission </w:t>
            </w:r>
          </w:p>
        </w:tc>
        <w:tc>
          <w:tcPr>
            <w:tcW w:w="66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CBD725B" w14:textId="77777777" w:rsidR="00552A56" w:rsidRDefault="00552A56" w:rsidP="008F7B5F">
            <w:pPr>
              <w:spacing w:after="0" w:line="259" w:lineRule="auto"/>
              <w:ind w:left="0" w:firstLine="0"/>
            </w:pPr>
            <w:r>
              <w:t xml:space="preserve">Turnitin via moodle. </w:t>
            </w:r>
          </w:p>
        </w:tc>
      </w:tr>
      <w:tr w:rsidR="00552A56" w14:paraId="0F93CD9E" w14:textId="77777777" w:rsidTr="00F84CCD">
        <w:trPr>
          <w:trHeight w:val="550"/>
        </w:trPr>
        <w:tc>
          <w:tcPr>
            <w:tcW w:w="26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4A8CC05A" w14:textId="77777777" w:rsidR="00552A56" w:rsidRDefault="00552A56" w:rsidP="008F7B5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Word Limit </w:t>
            </w:r>
          </w:p>
        </w:tc>
        <w:tc>
          <w:tcPr>
            <w:tcW w:w="66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14BC1C3B" w14:textId="77777777" w:rsidR="00552A56" w:rsidRDefault="00552A56" w:rsidP="008F7B5F">
            <w:pPr>
              <w:spacing w:after="0" w:line="259" w:lineRule="auto"/>
              <w:ind w:left="0" w:firstLine="0"/>
            </w:pPr>
            <w:r>
              <w:t xml:space="preserve">600-700 words </w:t>
            </w:r>
          </w:p>
        </w:tc>
      </w:tr>
      <w:tr w:rsidR="00552A56" w14:paraId="6FD6975C" w14:textId="77777777" w:rsidTr="00F84CCD">
        <w:trPr>
          <w:trHeight w:val="755"/>
        </w:trPr>
        <w:tc>
          <w:tcPr>
            <w:tcW w:w="26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3443D322" w14:textId="77777777" w:rsidR="00552A56" w:rsidRDefault="00552A56" w:rsidP="008F7B5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Learning outcome(s): </w:t>
            </w:r>
          </w:p>
        </w:tc>
        <w:tc>
          <w:tcPr>
            <w:tcW w:w="66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290783B0" w14:textId="77777777" w:rsidR="00552A56" w:rsidRPr="008C2365" w:rsidRDefault="00552A56" w:rsidP="008F7B5F">
            <w:pPr>
              <w:spacing w:after="0" w:line="259" w:lineRule="auto"/>
              <w:ind w:left="736" w:hanging="736"/>
              <w:rPr>
                <w:w w:val="105"/>
              </w:rPr>
            </w:pPr>
            <w:r w:rsidRPr="008C2365">
              <w:rPr>
                <w:w w:val="105"/>
              </w:rPr>
              <w:t xml:space="preserve">LO1: </w:t>
            </w:r>
            <w:r w:rsidRPr="008C2365">
              <w:rPr>
                <w:w w:val="105"/>
              </w:rPr>
              <w:tab/>
              <w:t xml:space="preserve">Explore the role of social structures, social institutions, and social systems including: </w:t>
            </w:r>
            <w:r w:rsidRPr="008C2365">
              <w:t>whānau, hapū and iwi,</w:t>
            </w:r>
            <w:r w:rsidRPr="008C2365">
              <w:rPr>
                <w:w w:val="105"/>
              </w:rPr>
              <w:t xml:space="preserve"> family, education, media, </w:t>
            </w:r>
            <w:proofErr w:type="gramStart"/>
            <w:r w:rsidRPr="008C2365">
              <w:rPr>
                <w:w w:val="105"/>
              </w:rPr>
              <w:t>politics</w:t>
            </w:r>
            <w:proofErr w:type="gramEnd"/>
            <w:r w:rsidRPr="008C2365">
              <w:rPr>
                <w:w w:val="105"/>
              </w:rPr>
              <w:t xml:space="preserve"> and the state in maintaining and/or challenging social cohesion or social change.</w:t>
            </w:r>
          </w:p>
          <w:p w14:paraId="2053C397" w14:textId="77777777" w:rsidR="00552A56" w:rsidRPr="008C2365" w:rsidRDefault="00552A56" w:rsidP="008F7B5F">
            <w:pPr>
              <w:spacing w:after="0" w:line="259" w:lineRule="auto"/>
              <w:ind w:left="736" w:hanging="736"/>
              <w:rPr>
                <w:w w:val="105"/>
              </w:rPr>
            </w:pPr>
            <w:r w:rsidRPr="008C2365">
              <w:rPr>
                <w:w w:val="105"/>
              </w:rPr>
              <w:t xml:space="preserve">LO2: </w:t>
            </w:r>
            <w:r w:rsidRPr="008C2365">
              <w:rPr>
                <w:w w:val="105"/>
              </w:rPr>
              <w:tab/>
              <w:t>Describe and explore sociological ideas, including “the sociological imagination”, the historical development of sociology, and key sociological concepts and theories</w:t>
            </w:r>
          </w:p>
          <w:p w14:paraId="48834ABA" w14:textId="7584A61E" w:rsidR="00552A56" w:rsidRPr="00C73864" w:rsidRDefault="00552A56" w:rsidP="008F7B5F">
            <w:pPr>
              <w:spacing w:after="0" w:line="259" w:lineRule="auto"/>
              <w:ind w:left="736" w:hanging="736"/>
              <w:rPr>
                <w:sz w:val="16"/>
                <w:szCs w:val="16"/>
              </w:rPr>
            </w:pPr>
            <w:r w:rsidRPr="008C2365">
              <w:rPr>
                <w:w w:val="105"/>
              </w:rPr>
              <w:t xml:space="preserve">LO3: </w:t>
            </w:r>
            <w:r w:rsidRPr="008C2365">
              <w:rPr>
                <w:w w:val="105"/>
              </w:rPr>
              <w:tab/>
              <w:t xml:space="preserve">Examine issues of class, age, culture and ethnicity, </w:t>
            </w:r>
            <w:r w:rsidR="004C009A" w:rsidRPr="008C2365">
              <w:rPr>
                <w:w w:val="105"/>
              </w:rPr>
              <w:t>gender,</w:t>
            </w:r>
            <w:r w:rsidRPr="008C2365">
              <w:rPr>
                <w:w w:val="105"/>
              </w:rPr>
              <w:t xml:space="preserve"> and sexuality, as a way of exploring social norms, identity, inclusion, </w:t>
            </w:r>
            <w:proofErr w:type="gramStart"/>
            <w:r w:rsidRPr="008C2365">
              <w:rPr>
                <w:w w:val="105"/>
              </w:rPr>
              <w:t>deviance</w:t>
            </w:r>
            <w:proofErr w:type="gramEnd"/>
            <w:r w:rsidRPr="008C2365">
              <w:rPr>
                <w:w w:val="105"/>
              </w:rPr>
              <w:t xml:space="preserve"> and difference.  </w:t>
            </w:r>
          </w:p>
        </w:tc>
      </w:tr>
      <w:tr w:rsidR="000F6023" w14:paraId="0352D333" w14:textId="77777777" w:rsidTr="00F84CCD">
        <w:trPr>
          <w:trHeight w:val="755"/>
        </w:trPr>
        <w:tc>
          <w:tcPr>
            <w:tcW w:w="26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7FC8AB47" w14:textId="23208B75" w:rsidR="000F6023" w:rsidRDefault="00AD68DD" w:rsidP="008F7B5F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Overview </w:t>
            </w:r>
          </w:p>
        </w:tc>
        <w:tc>
          <w:tcPr>
            <w:tcW w:w="66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505FB941" w14:textId="208E3EF8" w:rsidR="000F6023" w:rsidRPr="008C2365" w:rsidRDefault="00AD68DD" w:rsidP="00086A38">
            <w:pPr>
              <w:rPr>
                <w:w w:val="105"/>
              </w:rPr>
            </w:pPr>
            <w:r>
              <w:rPr>
                <w:w w:val="105"/>
              </w:rPr>
              <w:t xml:space="preserve">A written reflection </w:t>
            </w:r>
            <w:r w:rsidR="0051356C">
              <w:t xml:space="preserve">that explores </w:t>
            </w:r>
            <w:r w:rsidR="001A3ADD">
              <w:rPr>
                <w:w w:val="105"/>
              </w:rPr>
              <w:t xml:space="preserve">students </w:t>
            </w:r>
            <w:r w:rsidR="0008079F">
              <w:rPr>
                <w:w w:val="105"/>
              </w:rPr>
              <w:t xml:space="preserve">experience with </w:t>
            </w:r>
            <w:r w:rsidR="0051356C">
              <w:t>and the education system</w:t>
            </w:r>
            <w:r w:rsidR="0008079F">
              <w:rPr>
                <w:w w:val="105"/>
              </w:rPr>
              <w:t xml:space="preserve"> </w:t>
            </w:r>
            <w:r w:rsidR="001E584E">
              <w:rPr>
                <w:w w:val="105"/>
              </w:rPr>
              <w:t xml:space="preserve">linked to sociological concepts </w:t>
            </w:r>
          </w:p>
        </w:tc>
      </w:tr>
      <w:tr w:rsidR="00803A41" w14:paraId="6994AA7C" w14:textId="77777777" w:rsidTr="00F84CCD">
        <w:trPr>
          <w:trHeight w:val="755"/>
        </w:trPr>
        <w:tc>
          <w:tcPr>
            <w:tcW w:w="26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2F290B88" w14:textId="31153C5A" w:rsidR="00803A41" w:rsidRDefault="00803A41" w:rsidP="008F7B5F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Task </w:t>
            </w:r>
          </w:p>
        </w:tc>
        <w:tc>
          <w:tcPr>
            <w:tcW w:w="666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67DB5831" w14:textId="77777777" w:rsidR="001239FA" w:rsidRDefault="00FC66FC" w:rsidP="00CB79AA">
            <w:pPr>
              <w:pStyle w:val="ListParagraph"/>
              <w:numPr>
                <w:ilvl w:val="0"/>
                <w:numId w:val="13"/>
              </w:numPr>
            </w:pPr>
            <w:r>
              <w:t>Write a reflection your own experience of education</w:t>
            </w:r>
            <w:r w:rsidR="001239FA">
              <w:t>.</w:t>
            </w:r>
          </w:p>
          <w:p w14:paraId="30FBACAF" w14:textId="6A02FBA8" w:rsidR="001239FA" w:rsidRDefault="001239FA" w:rsidP="001239FA">
            <w:pPr>
              <w:pStyle w:val="ListParagraph"/>
              <w:numPr>
                <w:ilvl w:val="0"/>
                <w:numId w:val="9"/>
              </w:numPr>
              <w:spacing w:after="160" w:line="259" w:lineRule="auto"/>
            </w:pPr>
            <w:r>
              <w:t>Describe</w:t>
            </w:r>
            <w:r w:rsidR="001261EF">
              <w:rPr>
                <w:rStyle w:val="FootnoteReference"/>
              </w:rPr>
              <w:footnoteReference w:id="2"/>
            </w:r>
            <w:r>
              <w:t xml:space="preserve"> your educational experience paying attention to any areas of inequality or unfairness </w:t>
            </w:r>
          </w:p>
          <w:p w14:paraId="26BB8269" w14:textId="77777777" w:rsidR="00CB79AA" w:rsidRDefault="001239FA" w:rsidP="00CB79AA">
            <w:pPr>
              <w:pStyle w:val="ListParagraph"/>
              <w:numPr>
                <w:ilvl w:val="0"/>
                <w:numId w:val="9"/>
              </w:numPr>
              <w:spacing w:after="160" w:line="259" w:lineRule="auto"/>
            </w:pPr>
            <w:r>
              <w:t>Identify at least two key sociological concepts (such as norms, stereotypes, discrimination, racism, class, ethnicity, gender etc) within your description of your educational experience.</w:t>
            </w:r>
          </w:p>
          <w:p w14:paraId="54AC1B00" w14:textId="4EAC1C24" w:rsidR="00803A41" w:rsidRPr="00CB79AA" w:rsidRDefault="001239FA" w:rsidP="00CB79AA">
            <w:pPr>
              <w:pStyle w:val="ListParagraph"/>
              <w:numPr>
                <w:ilvl w:val="0"/>
                <w:numId w:val="9"/>
              </w:numPr>
              <w:spacing w:after="160" w:line="259" w:lineRule="auto"/>
            </w:pPr>
            <w:r>
              <w:t>Examine</w:t>
            </w:r>
            <w:r w:rsidR="00062B42">
              <w:rPr>
                <w:rStyle w:val="FootnoteReference"/>
              </w:rPr>
              <w:footnoteReference w:id="3"/>
            </w:r>
            <w:r>
              <w:t xml:space="preserve"> (or explore) the connection between the sociological concepts and your experience (look at effects and impacts)</w:t>
            </w:r>
          </w:p>
        </w:tc>
      </w:tr>
    </w:tbl>
    <w:p w14:paraId="1221E34C" w14:textId="77777777" w:rsidR="005B5F31" w:rsidRDefault="005B5F31" w:rsidP="00062B42">
      <w:pPr>
        <w:spacing w:after="162" w:line="259" w:lineRule="auto"/>
        <w:ind w:left="0" w:firstLine="0"/>
        <w:rPr>
          <w:b/>
        </w:rPr>
      </w:pPr>
    </w:p>
    <w:p w14:paraId="79F1838D" w14:textId="39198877" w:rsidR="00FE0831" w:rsidRDefault="007544E3" w:rsidP="00062B42">
      <w:pPr>
        <w:spacing w:after="162" w:line="259" w:lineRule="auto"/>
        <w:ind w:left="0" w:firstLine="0"/>
        <w:rPr>
          <w:color w:val="FF0000"/>
        </w:rPr>
      </w:pPr>
      <w:r>
        <w:rPr>
          <w:b/>
        </w:rPr>
        <w:t>Further information to complete the task</w:t>
      </w:r>
      <w:r w:rsidR="00A50B18">
        <w:rPr>
          <w:b/>
        </w:rPr>
        <w:t>:</w:t>
      </w:r>
      <w:r w:rsidR="00A50B18">
        <w:rPr>
          <w:color w:val="FF0000"/>
        </w:rPr>
        <w:t xml:space="preserve"> </w:t>
      </w:r>
    </w:p>
    <w:p w14:paraId="45602A1D" w14:textId="35E76B8E" w:rsidR="009D56E4" w:rsidRDefault="007544E3">
      <w:pPr>
        <w:spacing w:after="162" w:line="259" w:lineRule="auto"/>
        <w:ind w:left="-5"/>
        <w:rPr>
          <w:color w:val="000000" w:themeColor="text1"/>
        </w:rPr>
      </w:pPr>
      <w:r>
        <w:rPr>
          <w:color w:val="000000" w:themeColor="text1"/>
        </w:rPr>
        <w:t xml:space="preserve">Using your </w:t>
      </w:r>
      <w:r w:rsidRPr="00CD5EA6">
        <w:rPr>
          <w:b/>
          <w:bCs/>
          <w:color w:val="000000" w:themeColor="text1"/>
        </w:rPr>
        <w:t xml:space="preserve">sociological imagination </w:t>
      </w:r>
      <w:r>
        <w:rPr>
          <w:color w:val="000000" w:themeColor="text1"/>
        </w:rPr>
        <w:t xml:space="preserve">think </w:t>
      </w:r>
      <w:r w:rsidR="00BA143D">
        <w:rPr>
          <w:color w:val="000000" w:themeColor="text1"/>
        </w:rPr>
        <w:t xml:space="preserve">about your own lived experience, </w:t>
      </w:r>
      <w:r w:rsidR="005B3C6D">
        <w:rPr>
          <w:color w:val="000000" w:themeColor="text1"/>
        </w:rPr>
        <w:t>especially</w:t>
      </w:r>
      <w:r w:rsidR="00BA143D">
        <w:rPr>
          <w:color w:val="000000" w:themeColor="text1"/>
        </w:rPr>
        <w:t xml:space="preserve"> as it relates to education</w:t>
      </w:r>
      <w:r w:rsidR="00663B16">
        <w:rPr>
          <w:color w:val="000000" w:themeColor="text1"/>
        </w:rPr>
        <w:t xml:space="preserve"> (this can be primary, intermediate, </w:t>
      </w:r>
      <w:r w:rsidR="0094091A">
        <w:rPr>
          <w:color w:val="000000" w:themeColor="text1"/>
        </w:rPr>
        <w:t>secondary school)</w:t>
      </w:r>
      <w:r w:rsidR="00BA143D">
        <w:rPr>
          <w:color w:val="000000" w:themeColor="text1"/>
        </w:rPr>
        <w:t xml:space="preserve">. </w:t>
      </w:r>
    </w:p>
    <w:p w14:paraId="09EA0E90" w14:textId="57ECCCCD" w:rsidR="006F0954" w:rsidRDefault="00BA143D" w:rsidP="00551E3E">
      <w:pPr>
        <w:spacing w:after="162" w:line="259" w:lineRule="auto"/>
        <w:ind w:left="-5"/>
        <w:rPr>
          <w:color w:val="000000" w:themeColor="text1"/>
        </w:rPr>
      </w:pPr>
      <w:r>
        <w:rPr>
          <w:color w:val="000000" w:themeColor="text1"/>
        </w:rPr>
        <w:t xml:space="preserve">Think about </w:t>
      </w:r>
      <w:r w:rsidR="005B3C6D">
        <w:rPr>
          <w:color w:val="000000" w:themeColor="text1"/>
        </w:rPr>
        <w:t xml:space="preserve">as many parts of this narrative as you wish. </w:t>
      </w:r>
      <w:r w:rsidR="00906F75">
        <w:rPr>
          <w:color w:val="000000" w:themeColor="text1"/>
        </w:rPr>
        <w:t xml:space="preserve">Think about your own </w:t>
      </w:r>
      <w:r w:rsidR="00F55316">
        <w:rPr>
          <w:color w:val="000000" w:themeColor="text1"/>
        </w:rPr>
        <w:t>experience</w:t>
      </w:r>
      <w:r w:rsidR="00906F75">
        <w:rPr>
          <w:color w:val="000000" w:themeColor="text1"/>
        </w:rPr>
        <w:t xml:space="preserve"> of unfairness or inequality. </w:t>
      </w:r>
      <w:r w:rsidR="005B3C6D">
        <w:rPr>
          <w:color w:val="000000" w:themeColor="text1"/>
        </w:rPr>
        <w:t xml:space="preserve">For </w:t>
      </w:r>
      <w:r w:rsidR="00F162F8">
        <w:rPr>
          <w:color w:val="000000" w:themeColor="text1"/>
        </w:rPr>
        <w:t>example,</w:t>
      </w:r>
      <w:r w:rsidR="005B3C6D">
        <w:rPr>
          <w:color w:val="000000" w:themeColor="text1"/>
        </w:rPr>
        <w:t xml:space="preserve"> think about</w:t>
      </w:r>
      <w:r w:rsidR="00D40495">
        <w:rPr>
          <w:color w:val="000000" w:themeColor="text1"/>
        </w:rPr>
        <w:t xml:space="preserve"> where you went to school </w:t>
      </w:r>
      <w:r w:rsidR="0094091A">
        <w:rPr>
          <w:color w:val="000000" w:themeColor="text1"/>
        </w:rPr>
        <w:t>(</w:t>
      </w:r>
      <w:proofErr w:type="gramStart"/>
      <w:r w:rsidR="0094091A">
        <w:rPr>
          <w:color w:val="000000" w:themeColor="text1"/>
        </w:rPr>
        <w:t>e.g.</w:t>
      </w:r>
      <w:proofErr w:type="gramEnd"/>
      <w:r w:rsidR="0094091A">
        <w:rPr>
          <w:color w:val="000000" w:themeColor="text1"/>
        </w:rPr>
        <w:t xml:space="preserve"> </w:t>
      </w:r>
      <w:r>
        <w:rPr>
          <w:color w:val="000000" w:themeColor="text1"/>
        </w:rPr>
        <w:t>location</w:t>
      </w:r>
      <w:r w:rsidR="0094091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rural, urban, </w:t>
      </w:r>
      <w:r w:rsidR="00F162F8">
        <w:rPr>
          <w:color w:val="000000" w:themeColor="text1"/>
        </w:rPr>
        <w:t>an</w:t>
      </w:r>
      <w:r>
        <w:rPr>
          <w:color w:val="000000" w:themeColor="text1"/>
        </w:rPr>
        <w:t>other country</w:t>
      </w:r>
      <w:r w:rsidR="00F162F8">
        <w:rPr>
          <w:color w:val="000000" w:themeColor="text1"/>
        </w:rPr>
        <w:t>?</w:t>
      </w:r>
      <w:r>
        <w:rPr>
          <w:color w:val="000000" w:themeColor="text1"/>
        </w:rPr>
        <w:t xml:space="preserve">), </w:t>
      </w:r>
      <w:r w:rsidR="005B3C6D">
        <w:rPr>
          <w:color w:val="000000" w:themeColor="text1"/>
        </w:rPr>
        <w:t xml:space="preserve">or </w:t>
      </w:r>
      <w:r>
        <w:rPr>
          <w:color w:val="000000" w:themeColor="text1"/>
        </w:rPr>
        <w:t>your whanau/family context (</w:t>
      </w:r>
      <w:r w:rsidR="005B3C6D">
        <w:rPr>
          <w:color w:val="000000" w:themeColor="text1"/>
        </w:rPr>
        <w:t xml:space="preserve">e.g. </w:t>
      </w:r>
      <w:r>
        <w:rPr>
          <w:color w:val="000000" w:themeColor="text1"/>
        </w:rPr>
        <w:t>economic position</w:t>
      </w:r>
      <w:r w:rsidR="005B3C6D">
        <w:rPr>
          <w:color w:val="000000" w:themeColor="text1"/>
        </w:rPr>
        <w:t xml:space="preserve"> allowed private education, education valued in your family context, poverty meant you couldn’t engage with school activities). Think about the effects of other social forces, </w:t>
      </w:r>
      <w:proofErr w:type="gramStart"/>
      <w:r w:rsidR="005B3C6D">
        <w:rPr>
          <w:color w:val="000000" w:themeColor="text1"/>
        </w:rPr>
        <w:t>e.g.</w:t>
      </w:r>
      <w:proofErr w:type="gramEnd"/>
      <w:r w:rsidR="005B3C6D">
        <w:rPr>
          <w:color w:val="000000" w:themeColor="text1"/>
        </w:rPr>
        <w:t xml:space="preserve"> norms, discourses</w:t>
      </w:r>
      <w:r w:rsidR="005A0C39">
        <w:rPr>
          <w:color w:val="000000" w:themeColor="text1"/>
        </w:rPr>
        <w:t xml:space="preserve">, stereotypes, privilege, prejudice. </w:t>
      </w:r>
      <w:r w:rsidR="002D3037">
        <w:rPr>
          <w:color w:val="000000" w:themeColor="text1"/>
        </w:rPr>
        <w:br w:type="page"/>
      </w:r>
    </w:p>
    <w:tbl>
      <w:tblPr>
        <w:tblStyle w:val="TableGrid"/>
        <w:tblpPr w:leftFromText="180" w:rightFromText="180" w:vertAnchor="page" w:horzAnchor="margin" w:tblpY="2641"/>
        <w:tblW w:w="9498" w:type="dxa"/>
        <w:tblInd w:w="0" w:type="dxa"/>
        <w:tblCellMar>
          <w:top w:w="5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4679"/>
        <w:gridCol w:w="2550"/>
        <w:gridCol w:w="1295"/>
        <w:gridCol w:w="974"/>
      </w:tblGrid>
      <w:tr w:rsidR="006F0954" w14:paraId="11B36DD4" w14:textId="77777777" w:rsidTr="005B5F31">
        <w:trPr>
          <w:trHeight w:val="521"/>
        </w:trPr>
        <w:tc>
          <w:tcPr>
            <w:tcW w:w="46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9CC2E5" w:themeColor="accent1" w:themeTint="99"/>
              <w:right w:val="single" w:sz="4" w:space="0" w:color="BDD6EE" w:themeColor="accent1" w:themeTint="66"/>
            </w:tcBorders>
            <w:shd w:val="clear" w:color="auto" w:fill="C5E0B3" w:themeFill="accent6" w:themeFillTint="66"/>
          </w:tcPr>
          <w:p w14:paraId="0715B9E7" w14:textId="77777777" w:rsidR="006F0954" w:rsidRDefault="006F0954" w:rsidP="005B5F31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lastRenderedPageBreak/>
              <w:br w:type="page"/>
            </w:r>
            <w:r>
              <w:rPr>
                <w:b/>
              </w:rPr>
              <w:t xml:space="preserve">Marking Criteria </w:t>
            </w:r>
          </w:p>
          <w:p w14:paraId="6789924E" w14:textId="77777777" w:rsidR="006F0954" w:rsidRDefault="006F0954" w:rsidP="005B5F3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9CC2E5" w:themeColor="accent1" w:themeTint="99"/>
              <w:right w:val="single" w:sz="4" w:space="0" w:color="BDD6EE" w:themeColor="accent1" w:themeTint="66"/>
            </w:tcBorders>
            <w:shd w:val="clear" w:color="auto" w:fill="C5E0B3" w:themeFill="accent6" w:themeFillTint="66"/>
          </w:tcPr>
          <w:p w14:paraId="23BEADCD" w14:textId="77777777" w:rsidR="006F0954" w:rsidRDefault="006F0954" w:rsidP="005B5F31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Markers Comments </w:t>
            </w:r>
          </w:p>
        </w:tc>
        <w:tc>
          <w:tcPr>
            <w:tcW w:w="129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9CC2E5" w:themeColor="accent1" w:themeTint="99"/>
              <w:right w:val="single" w:sz="4" w:space="0" w:color="BDD6EE" w:themeColor="accent1" w:themeTint="66"/>
            </w:tcBorders>
            <w:shd w:val="clear" w:color="auto" w:fill="C5E0B3" w:themeFill="accent6" w:themeFillTint="66"/>
          </w:tcPr>
          <w:p w14:paraId="651E67CA" w14:textId="77777777" w:rsidR="006F0954" w:rsidRDefault="006F0954" w:rsidP="005B5F3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Available Mark</w:t>
            </w:r>
          </w:p>
        </w:tc>
        <w:tc>
          <w:tcPr>
            <w:tcW w:w="97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9CC2E5" w:themeColor="accent1" w:themeTint="99"/>
              <w:right w:val="single" w:sz="4" w:space="0" w:color="BDD6EE" w:themeColor="accent1" w:themeTint="66"/>
            </w:tcBorders>
            <w:shd w:val="clear" w:color="auto" w:fill="C5E0B3" w:themeFill="accent6" w:themeFillTint="66"/>
          </w:tcPr>
          <w:p w14:paraId="5A8093D0" w14:textId="77777777" w:rsidR="006F0954" w:rsidRDefault="006F0954" w:rsidP="005B5F31">
            <w:pPr>
              <w:spacing w:after="0" w:line="259" w:lineRule="auto"/>
              <w:ind w:left="1" w:firstLine="0"/>
            </w:pPr>
            <w:r>
              <w:rPr>
                <w:b/>
              </w:rPr>
              <w:t>Mark</w:t>
            </w:r>
            <w:r>
              <w:t xml:space="preserve"> </w:t>
            </w:r>
          </w:p>
        </w:tc>
      </w:tr>
      <w:tr w:rsidR="006F0954" w14:paraId="38ABEB95" w14:textId="77777777" w:rsidTr="005B5F31">
        <w:trPr>
          <w:trHeight w:val="1001"/>
        </w:trPr>
        <w:tc>
          <w:tcPr>
            <w:tcW w:w="4679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2B891AA2" w14:textId="77777777" w:rsidR="006F0954" w:rsidRPr="00682FC8" w:rsidRDefault="006F0954" w:rsidP="005B5F31">
            <w:pPr>
              <w:spacing w:after="0" w:line="276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682FC8">
              <w:rPr>
                <w:color w:val="000000" w:themeColor="text1"/>
              </w:rPr>
              <w:t>An educational experience is described that includes a comment on inequality or unfairness</w:t>
            </w:r>
            <w:r>
              <w:rPr>
                <w:color w:val="000000" w:themeColor="text1"/>
              </w:rPr>
              <w:t>.</w:t>
            </w:r>
            <w:r w:rsidRPr="00682FC8">
              <w:rPr>
                <w:color w:val="000000" w:themeColor="text1"/>
              </w:rPr>
              <w:t xml:space="preserve"> </w:t>
            </w:r>
            <w:r w:rsidRPr="00E07EB3">
              <w:rPr>
                <w:b/>
                <w:bCs/>
                <w:color w:val="000000" w:themeColor="text1"/>
              </w:rPr>
              <w:t>(5marks).</w:t>
            </w:r>
          </w:p>
        </w:tc>
        <w:tc>
          <w:tcPr>
            <w:tcW w:w="2550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45CF90AB" w14:textId="77777777" w:rsidR="006F0954" w:rsidRDefault="006F0954" w:rsidP="005B5F31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1295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46EDC577" w14:textId="77777777" w:rsidR="006F0954" w:rsidRPr="00F162F8" w:rsidRDefault="006F0954" w:rsidP="005B5F31">
            <w:pPr>
              <w:spacing w:after="0" w:line="259" w:lineRule="auto"/>
              <w:ind w:left="1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74" w:type="dxa"/>
            <w:tcBorders>
              <w:top w:val="single" w:sz="12" w:space="0" w:color="9CC2E5" w:themeColor="accent1" w:themeTint="99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2ABD3BCD" w14:textId="77777777" w:rsidR="006F0954" w:rsidRDefault="006F0954" w:rsidP="005B5F31">
            <w:pPr>
              <w:spacing w:after="0" w:line="259" w:lineRule="auto"/>
              <w:ind w:left="1" w:firstLine="0"/>
            </w:pPr>
            <w:r>
              <w:t xml:space="preserve">       </w:t>
            </w:r>
          </w:p>
        </w:tc>
      </w:tr>
      <w:tr w:rsidR="006F0954" w14:paraId="534E2FEB" w14:textId="77777777" w:rsidTr="005B5F31">
        <w:trPr>
          <w:trHeight w:val="1276"/>
        </w:trPr>
        <w:tc>
          <w:tcPr>
            <w:tcW w:w="46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3679913D" w14:textId="77777777" w:rsidR="006F0954" w:rsidRPr="00682FC8" w:rsidRDefault="006F0954" w:rsidP="005B5F31">
            <w:pPr>
              <w:spacing w:after="0" w:line="276" w:lineRule="auto"/>
              <w:ind w:left="0" w:firstLine="0"/>
            </w:pPr>
            <w:r w:rsidRPr="00682FC8">
              <w:t xml:space="preserve">Identify at least two key sociological concepts (such as norms, stereotypes, discrimination, racism, class, ethnicity, gender etc) within your description of your educational experience. </w:t>
            </w:r>
          </w:p>
          <w:p w14:paraId="70C5B064" w14:textId="5B62D4E2" w:rsidR="006F0954" w:rsidRPr="00682FC8" w:rsidRDefault="00DB3EE0" w:rsidP="005B5F31">
            <w:pPr>
              <w:spacing w:after="0" w:line="276" w:lineRule="auto"/>
              <w:ind w:left="0" w:firstLine="0"/>
              <w:rPr>
                <w:color w:val="000000" w:themeColor="text1"/>
              </w:rPr>
            </w:pPr>
            <w:r w:rsidRPr="00DB3EE0">
              <w:t xml:space="preserve">Examine (or explore) the connection between the sociological concepts and your experience (look at effects and impacts) </w:t>
            </w:r>
            <w:r w:rsidRPr="000645DA">
              <w:rPr>
                <w:b/>
                <w:bCs/>
              </w:rPr>
              <w:t>(10 marks).</w:t>
            </w:r>
          </w:p>
        </w:tc>
        <w:tc>
          <w:tcPr>
            <w:tcW w:w="25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6B0CE75C" w14:textId="77777777" w:rsidR="006F0954" w:rsidRDefault="006F0954" w:rsidP="005B5F31">
            <w:pPr>
              <w:spacing w:after="0" w:line="259" w:lineRule="auto"/>
              <w:ind w:left="1" w:firstLine="0"/>
            </w:pPr>
          </w:p>
        </w:tc>
        <w:tc>
          <w:tcPr>
            <w:tcW w:w="129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69149826" w14:textId="50FF332B" w:rsidR="006F0954" w:rsidRDefault="006F0954" w:rsidP="005B5F31">
            <w:pPr>
              <w:spacing w:after="0" w:line="259" w:lineRule="auto"/>
              <w:ind w:left="1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45DA">
              <w:rPr>
                <w:b/>
                <w:bCs/>
              </w:rPr>
              <w:t>0</w:t>
            </w:r>
          </w:p>
        </w:tc>
        <w:tc>
          <w:tcPr>
            <w:tcW w:w="97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561DE104" w14:textId="77777777" w:rsidR="006F0954" w:rsidRDefault="006F0954" w:rsidP="005B5F31">
            <w:pPr>
              <w:spacing w:after="0" w:line="259" w:lineRule="auto"/>
              <w:ind w:left="1" w:firstLine="0"/>
            </w:pPr>
          </w:p>
        </w:tc>
      </w:tr>
      <w:tr w:rsidR="006F0954" w14:paraId="3038EE9B" w14:textId="77777777" w:rsidTr="005B5F31">
        <w:trPr>
          <w:trHeight w:val="1276"/>
        </w:trPr>
        <w:tc>
          <w:tcPr>
            <w:tcW w:w="46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79911F90" w14:textId="77777777" w:rsidR="006F0954" w:rsidRDefault="006F0954" w:rsidP="005B5F31">
            <w:pPr>
              <w:spacing w:after="160" w:line="276" w:lineRule="auto"/>
              <w:rPr>
                <w:color w:val="000000" w:themeColor="text1"/>
              </w:rPr>
            </w:pPr>
            <w:r w:rsidRPr="009718DC">
              <w:rPr>
                <w:color w:val="000000" w:themeColor="text1"/>
              </w:rPr>
              <w:t>Presentation, and Formatting</w:t>
            </w:r>
            <w:r>
              <w:rPr>
                <w:color w:val="000000" w:themeColor="text1"/>
              </w:rPr>
              <w:t>.</w:t>
            </w:r>
          </w:p>
          <w:p w14:paraId="4F74C54E" w14:textId="77777777" w:rsidR="006F0954" w:rsidRDefault="006F0954" w:rsidP="005B5F31">
            <w:pPr>
              <w:spacing w:after="160" w:line="276" w:lineRule="auto"/>
              <w:rPr>
                <w:color w:val="000000" w:themeColor="text1"/>
              </w:rPr>
            </w:pPr>
            <w:r w:rsidRPr="009718DC">
              <w:rPr>
                <w:color w:val="000000" w:themeColor="text1"/>
              </w:rPr>
              <w:t>Correct APA format (if used)</w:t>
            </w:r>
            <w:r>
              <w:rPr>
                <w:color w:val="000000" w:themeColor="text1"/>
              </w:rPr>
              <w:t>.</w:t>
            </w:r>
          </w:p>
          <w:p w14:paraId="4DC2340D" w14:textId="77777777" w:rsidR="006F0954" w:rsidRPr="00E07EB3" w:rsidRDefault="006F0954" w:rsidP="005B5F31">
            <w:pPr>
              <w:spacing w:after="160" w:line="276" w:lineRule="auto"/>
              <w:rPr>
                <w:b/>
                <w:bCs/>
                <w:color w:val="000000" w:themeColor="text1"/>
              </w:rPr>
            </w:pPr>
            <w:r w:rsidRPr="009718DC">
              <w:rPr>
                <w:color w:val="000000" w:themeColor="text1"/>
              </w:rPr>
              <w:t>Formatting must include</w:t>
            </w:r>
            <w:r>
              <w:rPr>
                <w:color w:val="000000" w:themeColor="text1"/>
              </w:rPr>
              <w:t xml:space="preserve">: </w:t>
            </w:r>
            <w:r w:rsidRPr="009718DC">
              <w:rPr>
                <w:color w:val="000000" w:themeColor="text1"/>
              </w:rPr>
              <w:t>Name and Student ID number, 1.5 spacing, Arial font 11 or 12 size Justified margins, Spell checked</w:t>
            </w:r>
            <w:r>
              <w:rPr>
                <w:color w:val="000000" w:themeColor="text1"/>
              </w:rPr>
              <w:t xml:space="preserve">. </w:t>
            </w:r>
            <w:r w:rsidRPr="00E07EB3">
              <w:rPr>
                <w:b/>
                <w:bCs/>
                <w:color w:val="000000" w:themeColor="text1"/>
              </w:rPr>
              <w:t>(5 marks)</w:t>
            </w:r>
          </w:p>
          <w:p w14:paraId="2E53B416" w14:textId="77777777" w:rsidR="006F0954" w:rsidRPr="00682FC8" w:rsidRDefault="006F0954" w:rsidP="005B5F31">
            <w:pPr>
              <w:spacing w:after="160" w:line="276" w:lineRule="auto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5C306FE8" w14:textId="77777777" w:rsidR="006F0954" w:rsidRDefault="006F0954" w:rsidP="005B5F31">
            <w:pPr>
              <w:spacing w:after="0" w:line="259" w:lineRule="auto"/>
              <w:ind w:left="1" w:firstLine="0"/>
            </w:pPr>
          </w:p>
        </w:tc>
        <w:tc>
          <w:tcPr>
            <w:tcW w:w="129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4941EECC" w14:textId="77777777" w:rsidR="006F0954" w:rsidRDefault="006F0954" w:rsidP="005B5F31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7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172E7F2" w14:textId="77777777" w:rsidR="006F0954" w:rsidRDefault="006F0954" w:rsidP="005B5F31">
            <w:pPr>
              <w:spacing w:after="0" w:line="259" w:lineRule="auto"/>
              <w:ind w:left="1" w:firstLine="0"/>
            </w:pPr>
          </w:p>
        </w:tc>
      </w:tr>
      <w:tr w:rsidR="006F0954" w14:paraId="76111545" w14:textId="77777777" w:rsidTr="005B5F31">
        <w:trPr>
          <w:trHeight w:val="1276"/>
        </w:trPr>
        <w:tc>
          <w:tcPr>
            <w:tcW w:w="46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45139912" w14:textId="77777777" w:rsidR="006F0954" w:rsidRDefault="006F0954" w:rsidP="005B5F31">
            <w:pPr>
              <w:spacing w:after="25" w:line="234" w:lineRule="auto"/>
              <w:ind w:left="0" w:firstLine="0"/>
            </w:pPr>
          </w:p>
        </w:tc>
        <w:tc>
          <w:tcPr>
            <w:tcW w:w="25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1BE414C1" w14:textId="77777777" w:rsidR="006F0954" w:rsidRDefault="006F0954" w:rsidP="005B5F31">
            <w:pPr>
              <w:spacing w:after="0" w:line="259" w:lineRule="auto"/>
              <w:ind w:left="1" w:firstLine="0"/>
            </w:pPr>
          </w:p>
        </w:tc>
        <w:tc>
          <w:tcPr>
            <w:tcW w:w="129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17FCFDBE" w14:textId="77777777" w:rsidR="006F0954" w:rsidRDefault="006F0954" w:rsidP="005B5F31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5F9F1C64" w14:textId="77777777" w:rsidR="006F0954" w:rsidRDefault="006F0954" w:rsidP="005B5F31">
            <w:pPr>
              <w:spacing w:after="0" w:line="259" w:lineRule="auto"/>
              <w:ind w:left="1" w:firstLine="0"/>
            </w:pPr>
          </w:p>
        </w:tc>
      </w:tr>
      <w:tr w:rsidR="006F0954" w14:paraId="09E26D34" w14:textId="77777777" w:rsidTr="005B5F31">
        <w:trPr>
          <w:trHeight w:val="65"/>
        </w:trPr>
        <w:tc>
          <w:tcPr>
            <w:tcW w:w="46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CC99FF"/>
          </w:tcPr>
          <w:p w14:paraId="0869FC52" w14:textId="097C8767" w:rsidR="006F0954" w:rsidRDefault="006F0954" w:rsidP="005B5F31">
            <w:pPr>
              <w:spacing w:after="0" w:line="259" w:lineRule="auto"/>
              <w:ind w:left="0" w:firstLine="0"/>
            </w:pPr>
          </w:p>
          <w:p w14:paraId="650179D4" w14:textId="77777777" w:rsidR="006F0954" w:rsidRDefault="006F0954" w:rsidP="005B5F3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8D08D" w:themeFill="accent6" w:themeFillTint="99"/>
          </w:tcPr>
          <w:p w14:paraId="04ABA205" w14:textId="77777777" w:rsidR="006F0954" w:rsidRDefault="006F0954" w:rsidP="005B5F31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                                      Total </w:t>
            </w:r>
          </w:p>
        </w:tc>
        <w:tc>
          <w:tcPr>
            <w:tcW w:w="129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8D08D" w:themeFill="accent6" w:themeFillTint="99"/>
          </w:tcPr>
          <w:p w14:paraId="477351CA" w14:textId="609CC905" w:rsidR="006F0954" w:rsidRDefault="00871E82" w:rsidP="005B5F31">
            <w:pPr>
              <w:spacing w:after="0" w:line="259" w:lineRule="auto"/>
              <w:ind w:left="1" w:firstLine="0"/>
              <w:jc w:val="center"/>
            </w:pPr>
            <w:r>
              <w:t>20</w:t>
            </w:r>
          </w:p>
        </w:tc>
        <w:tc>
          <w:tcPr>
            <w:tcW w:w="97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8D08D" w:themeFill="accent6" w:themeFillTint="99"/>
          </w:tcPr>
          <w:p w14:paraId="2E158029" w14:textId="77777777" w:rsidR="006F0954" w:rsidRDefault="006F0954" w:rsidP="005B5F31">
            <w:pPr>
              <w:spacing w:after="0" w:line="259" w:lineRule="auto"/>
              <w:ind w:left="1" w:firstLine="0"/>
            </w:pPr>
            <w:r>
              <w:t xml:space="preserve">       </w:t>
            </w:r>
          </w:p>
        </w:tc>
      </w:tr>
    </w:tbl>
    <w:p w14:paraId="66CCCCD8" w14:textId="7CE5C3CE" w:rsidR="00E57F23" w:rsidRDefault="00E57F23" w:rsidP="004C009A">
      <w:pPr>
        <w:spacing w:after="160" w:line="259" w:lineRule="auto"/>
        <w:ind w:left="0" w:firstLine="0"/>
        <w:rPr>
          <w:sz w:val="28"/>
          <w:szCs w:val="28"/>
        </w:rPr>
      </w:pPr>
    </w:p>
    <w:sectPr w:rsidR="00E57F23" w:rsidSect="004C009A">
      <w:footerReference w:type="even" r:id="rId11"/>
      <w:footerReference w:type="default" r:id="rId12"/>
      <w:footerReference w:type="first" r:id="rId13"/>
      <w:pgSz w:w="11906" w:h="16838"/>
      <w:pgMar w:top="885" w:right="709" w:bottom="1588" w:left="144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2797" w14:textId="77777777" w:rsidR="009D6F85" w:rsidRDefault="009D6F85">
      <w:pPr>
        <w:spacing w:after="0" w:line="240" w:lineRule="auto"/>
      </w:pPr>
      <w:r>
        <w:separator/>
      </w:r>
    </w:p>
  </w:endnote>
  <w:endnote w:type="continuationSeparator" w:id="0">
    <w:p w14:paraId="68807599" w14:textId="77777777" w:rsidR="009D6F85" w:rsidRDefault="009D6F85">
      <w:pPr>
        <w:spacing w:after="0" w:line="240" w:lineRule="auto"/>
      </w:pPr>
      <w:r>
        <w:continuationSeparator/>
      </w:r>
    </w:p>
  </w:endnote>
  <w:endnote w:type="continuationNotice" w:id="1">
    <w:p w14:paraId="7866E06D" w14:textId="77777777" w:rsidR="009D6F85" w:rsidRDefault="009D6F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B2DA" w14:textId="77777777" w:rsidR="00FE0831" w:rsidRDefault="00A50B18">
    <w:pPr>
      <w:spacing w:after="0" w:line="259" w:lineRule="auto"/>
      <w:ind w:left="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0AA11A9" w14:textId="77777777" w:rsidR="00FE0831" w:rsidRDefault="00A50B1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5F5E" w14:textId="1DBC749F" w:rsidR="00FE0831" w:rsidRDefault="00FE0831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12E8" w14:textId="77777777" w:rsidR="00FE0831" w:rsidRDefault="00A50B18">
    <w:pPr>
      <w:spacing w:after="0" w:line="259" w:lineRule="auto"/>
      <w:ind w:left="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9DC03C9" w14:textId="77777777" w:rsidR="00FE0831" w:rsidRDefault="00A50B18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20A20" w14:textId="77777777" w:rsidR="009D6F85" w:rsidRDefault="009D6F85">
      <w:pPr>
        <w:spacing w:after="0" w:line="240" w:lineRule="auto"/>
      </w:pPr>
      <w:r>
        <w:separator/>
      </w:r>
    </w:p>
  </w:footnote>
  <w:footnote w:type="continuationSeparator" w:id="0">
    <w:p w14:paraId="711D3399" w14:textId="77777777" w:rsidR="009D6F85" w:rsidRDefault="009D6F85">
      <w:pPr>
        <w:spacing w:after="0" w:line="240" w:lineRule="auto"/>
      </w:pPr>
      <w:r>
        <w:continuationSeparator/>
      </w:r>
    </w:p>
  </w:footnote>
  <w:footnote w:type="continuationNotice" w:id="1">
    <w:p w14:paraId="357071FF" w14:textId="77777777" w:rsidR="009D6F85" w:rsidRDefault="009D6F85">
      <w:pPr>
        <w:spacing w:after="0" w:line="240" w:lineRule="auto"/>
      </w:pPr>
    </w:p>
  </w:footnote>
  <w:footnote w:id="2">
    <w:p w14:paraId="0F7D4024" w14:textId="33B0513E" w:rsidR="001261EF" w:rsidRDefault="001261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261EF">
        <w:t>Describe means to say what something is like. Give its relevant qualities</w:t>
      </w:r>
    </w:p>
  </w:footnote>
  <w:footnote w:id="3">
    <w:p w14:paraId="3BC07A81" w14:textId="1595C03B" w:rsidR="00062B42" w:rsidRDefault="00062B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62B42">
        <w:t>Examine means to look closely at something. Think and write about the detail, and question it where appropriate</w:t>
      </w:r>
    </w:p>
    <w:p w14:paraId="2CFC5DCB" w14:textId="77777777" w:rsidR="004C009A" w:rsidRDefault="004C009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550"/>
    <w:multiLevelType w:val="hybridMultilevel"/>
    <w:tmpl w:val="56D6D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160E8"/>
    <w:multiLevelType w:val="hybridMultilevel"/>
    <w:tmpl w:val="D6FE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6086A"/>
    <w:multiLevelType w:val="hybridMultilevel"/>
    <w:tmpl w:val="D8D4C8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A120C"/>
    <w:multiLevelType w:val="hybridMultilevel"/>
    <w:tmpl w:val="2B0A6ED8"/>
    <w:lvl w:ilvl="0" w:tplc="E4B0C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60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E9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102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01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A2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0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4B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0E0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0577DA1"/>
    <w:multiLevelType w:val="hybridMultilevel"/>
    <w:tmpl w:val="A1FE0C3A"/>
    <w:lvl w:ilvl="0" w:tplc="50565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A0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A2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CA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0B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B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62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AE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CB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97735"/>
    <w:multiLevelType w:val="hybridMultilevel"/>
    <w:tmpl w:val="0156C34E"/>
    <w:lvl w:ilvl="0" w:tplc="31B073C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F633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8E46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BA56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A8F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8BE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8C44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9EED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84A8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2A7FA1"/>
    <w:multiLevelType w:val="hybridMultilevel"/>
    <w:tmpl w:val="19529DE0"/>
    <w:lvl w:ilvl="0" w:tplc="107A9D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00148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0D2D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A1606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4679D2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B62B1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3EB84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2E0B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279F6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BD2B71"/>
    <w:multiLevelType w:val="hybridMultilevel"/>
    <w:tmpl w:val="A5F8A8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52355"/>
    <w:multiLevelType w:val="hybridMultilevel"/>
    <w:tmpl w:val="41142508"/>
    <w:lvl w:ilvl="0" w:tplc="1A8E0EB6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8D9A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9C9C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82B3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6DD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DE51A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81F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0B2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A86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F06DDF"/>
    <w:multiLevelType w:val="hybridMultilevel"/>
    <w:tmpl w:val="84C86D8E"/>
    <w:lvl w:ilvl="0" w:tplc="1F380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447F5"/>
    <w:multiLevelType w:val="hybridMultilevel"/>
    <w:tmpl w:val="82E2BF30"/>
    <w:lvl w:ilvl="0" w:tplc="07E65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8B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56F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A8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AA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A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03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84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01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A5C42"/>
    <w:multiLevelType w:val="hybridMultilevel"/>
    <w:tmpl w:val="50FA01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C2FE1"/>
    <w:multiLevelType w:val="hybridMultilevel"/>
    <w:tmpl w:val="07047D2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419706">
    <w:abstractNumId w:val="4"/>
  </w:num>
  <w:num w:numId="2" w16cid:durableId="1731805052">
    <w:abstractNumId w:val="10"/>
  </w:num>
  <w:num w:numId="3" w16cid:durableId="1922596346">
    <w:abstractNumId w:val="5"/>
  </w:num>
  <w:num w:numId="4" w16cid:durableId="424113375">
    <w:abstractNumId w:val="8"/>
  </w:num>
  <w:num w:numId="5" w16cid:durableId="1148865830">
    <w:abstractNumId w:val="6"/>
  </w:num>
  <w:num w:numId="6" w16cid:durableId="1455367777">
    <w:abstractNumId w:val="12"/>
  </w:num>
  <w:num w:numId="7" w16cid:durableId="14163912">
    <w:abstractNumId w:val="3"/>
  </w:num>
  <w:num w:numId="8" w16cid:durableId="1753238425">
    <w:abstractNumId w:val="9"/>
  </w:num>
  <w:num w:numId="9" w16cid:durableId="1935090087">
    <w:abstractNumId w:val="0"/>
  </w:num>
  <w:num w:numId="10" w16cid:durableId="716011600">
    <w:abstractNumId w:val="7"/>
  </w:num>
  <w:num w:numId="11" w16cid:durableId="212431549">
    <w:abstractNumId w:val="1"/>
  </w:num>
  <w:num w:numId="12" w16cid:durableId="276184700">
    <w:abstractNumId w:val="11"/>
  </w:num>
  <w:num w:numId="13" w16cid:durableId="941062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31"/>
    <w:rsid w:val="0003745A"/>
    <w:rsid w:val="00042BB7"/>
    <w:rsid w:val="00055FEA"/>
    <w:rsid w:val="000624D5"/>
    <w:rsid w:val="00062B42"/>
    <w:rsid w:val="000645DA"/>
    <w:rsid w:val="000650FF"/>
    <w:rsid w:val="0008079F"/>
    <w:rsid w:val="00086A38"/>
    <w:rsid w:val="0008778F"/>
    <w:rsid w:val="00096547"/>
    <w:rsid w:val="000A1399"/>
    <w:rsid w:val="000B56F2"/>
    <w:rsid w:val="000E0B5B"/>
    <w:rsid w:val="000E326A"/>
    <w:rsid w:val="000F065E"/>
    <w:rsid w:val="000F6023"/>
    <w:rsid w:val="001239FA"/>
    <w:rsid w:val="001261EF"/>
    <w:rsid w:val="00136011"/>
    <w:rsid w:val="0014353D"/>
    <w:rsid w:val="00163813"/>
    <w:rsid w:val="001A3ADD"/>
    <w:rsid w:val="001B6A57"/>
    <w:rsid w:val="001C4C77"/>
    <w:rsid w:val="001E584E"/>
    <w:rsid w:val="001F6059"/>
    <w:rsid w:val="00232C6A"/>
    <w:rsid w:val="002649A7"/>
    <w:rsid w:val="0028722D"/>
    <w:rsid w:val="002B06E7"/>
    <w:rsid w:val="002B1270"/>
    <w:rsid w:val="002C17DD"/>
    <w:rsid w:val="002D3037"/>
    <w:rsid w:val="002E0931"/>
    <w:rsid w:val="002F31E8"/>
    <w:rsid w:val="00301C6C"/>
    <w:rsid w:val="00303A32"/>
    <w:rsid w:val="00327E11"/>
    <w:rsid w:val="00342B21"/>
    <w:rsid w:val="00364C9B"/>
    <w:rsid w:val="00365E29"/>
    <w:rsid w:val="00373F95"/>
    <w:rsid w:val="00380A6C"/>
    <w:rsid w:val="003C6EB2"/>
    <w:rsid w:val="003E70EA"/>
    <w:rsid w:val="0040144B"/>
    <w:rsid w:val="0041207B"/>
    <w:rsid w:val="00422177"/>
    <w:rsid w:val="00422DD9"/>
    <w:rsid w:val="0042687E"/>
    <w:rsid w:val="00460001"/>
    <w:rsid w:val="00472504"/>
    <w:rsid w:val="00475A66"/>
    <w:rsid w:val="00482E3B"/>
    <w:rsid w:val="0049055E"/>
    <w:rsid w:val="004A3D98"/>
    <w:rsid w:val="004C009A"/>
    <w:rsid w:val="004C07E7"/>
    <w:rsid w:val="004C32F2"/>
    <w:rsid w:val="004D7AC3"/>
    <w:rsid w:val="004E1E1A"/>
    <w:rsid w:val="0051356C"/>
    <w:rsid w:val="00521688"/>
    <w:rsid w:val="00551E3E"/>
    <w:rsid w:val="00552A56"/>
    <w:rsid w:val="005720CD"/>
    <w:rsid w:val="005934FF"/>
    <w:rsid w:val="005A0C39"/>
    <w:rsid w:val="005B1AFD"/>
    <w:rsid w:val="005B3C6D"/>
    <w:rsid w:val="005B5F31"/>
    <w:rsid w:val="005B79FE"/>
    <w:rsid w:val="005C4ACE"/>
    <w:rsid w:val="005D502C"/>
    <w:rsid w:val="005E355C"/>
    <w:rsid w:val="005E5237"/>
    <w:rsid w:val="00604320"/>
    <w:rsid w:val="00610C27"/>
    <w:rsid w:val="00615D95"/>
    <w:rsid w:val="006301FF"/>
    <w:rsid w:val="006476AB"/>
    <w:rsid w:val="00650457"/>
    <w:rsid w:val="00663B16"/>
    <w:rsid w:val="006677A5"/>
    <w:rsid w:val="00682FC8"/>
    <w:rsid w:val="00697614"/>
    <w:rsid w:val="006B3C93"/>
    <w:rsid w:val="006B5863"/>
    <w:rsid w:val="006D2D13"/>
    <w:rsid w:val="006E75ED"/>
    <w:rsid w:val="006F0954"/>
    <w:rsid w:val="006F42E5"/>
    <w:rsid w:val="00713BE5"/>
    <w:rsid w:val="007145C7"/>
    <w:rsid w:val="00720BF6"/>
    <w:rsid w:val="007544E3"/>
    <w:rsid w:val="00760C41"/>
    <w:rsid w:val="00767D0F"/>
    <w:rsid w:val="00791CA7"/>
    <w:rsid w:val="00797360"/>
    <w:rsid w:val="007A34E9"/>
    <w:rsid w:val="007A3AC2"/>
    <w:rsid w:val="007C6779"/>
    <w:rsid w:val="007F4F50"/>
    <w:rsid w:val="007F5447"/>
    <w:rsid w:val="00800E2C"/>
    <w:rsid w:val="00803A41"/>
    <w:rsid w:val="00824280"/>
    <w:rsid w:val="00832EC4"/>
    <w:rsid w:val="00837B1E"/>
    <w:rsid w:val="008401EE"/>
    <w:rsid w:val="008439B4"/>
    <w:rsid w:val="00851860"/>
    <w:rsid w:val="00871E82"/>
    <w:rsid w:val="008755B4"/>
    <w:rsid w:val="00906F75"/>
    <w:rsid w:val="00912F6E"/>
    <w:rsid w:val="0094091A"/>
    <w:rsid w:val="009410F1"/>
    <w:rsid w:val="009718DC"/>
    <w:rsid w:val="0099182E"/>
    <w:rsid w:val="00991A9C"/>
    <w:rsid w:val="009D56E4"/>
    <w:rsid w:val="009D6C9B"/>
    <w:rsid w:val="009D6F85"/>
    <w:rsid w:val="009F4614"/>
    <w:rsid w:val="009F4A68"/>
    <w:rsid w:val="00A213D7"/>
    <w:rsid w:val="00A452D5"/>
    <w:rsid w:val="00A50B18"/>
    <w:rsid w:val="00A63137"/>
    <w:rsid w:val="00A818C0"/>
    <w:rsid w:val="00A96CBE"/>
    <w:rsid w:val="00AD68DD"/>
    <w:rsid w:val="00AF5A9B"/>
    <w:rsid w:val="00B47598"/>
    <w:rsid w:val="00BA143D"/>
    <w:rsid w:val="00BE2478"/>
    <w:rsid w:val="00BE3505"/>
    <w:rsid w:val="00BF68E8"/>
    <w:rsid w:val="00C22D61"/>
    <w:rsid w:val="00C2731A"/>
    <w:rsid w:val="00C36378"/>
    <w:rsid w:val="00C64D3F"/>
    <w:rsid w:val="00C73864"/>
    <w:rsid w:val="00CB59B3"/>
    <w:rsid w:val="00CB79AA"/>
    <w:rsid w:val="00CD5EA6"/>
    <w:rsid w:val="00CE1C9A"/>
    <w:rsid w:val="00CE7B07"/>
    <w:rsid w:val="00D11120"/>
    <w:rsid w:val="00D40495"/>
    <w:rsid w:val="00D95137"/>
    <w:rsid w:val="00DB3EE0"/>
    <w:rsid w:val="00DE054A"/>
    <w:rsid w:val="00DE20CA"/>
    <w:rsid w:val="00E07EB3"/>
    <w:rsid w:val="00E40A2A"/>
    <w:rsid w:val="00E57F23"/>
    <w:rsid w:val="00E813F9"/>
    <w:rsid w:val="00E92A9C"/>
    <w:rsid w:val="00E96FB9"/>
    <w:rsid w:val="00EA0040"/>
    <w:rsid w:val="00EA3C6B"/>
    <w:rsid w:val="00EB60AC"/>
    <w:rsid w:val="00EE279B"/>
    <w:rsid w:val="00EF17B5"/>
    <w:rsid w:val="00F162F8"/>
    <w:rsid w:val="00F2346B"/>
    <w:rsid w:val="00F506A5"/>
    <w:rsid w:val="00F55316"/>
    <w:rsid w:val="00F84CCD"/>
    <w:rsid w:val="00F859D6"/>
    <w:rsid w:val="00FA0EB8"/>
    <w:rsid w:val="00FB1FCF"/>
    <w:rsid w:val="00FB416F"/>
    <w:rsid w:val="00FB6C0A"/>
    <w:rsid w:val="00FC66FC"/>
    <w:rsid w:val="00FE0831"/>
    <w:rsid w:val="00FF0E00"/>
    <w:rsid w:val="00FF718D"/>
    <w:rsid w:val="03C7B629"/>
    <w:rsid w:val="05AEA39C"/>
    <w:rsid w:val="06D7A5D8"/>
    <w:rsid w:val="07B5C8E0"/>
    <w:rsid w:val="0AC3A214"/>
    <w:rsid w:val="0D79D7B1"/>
    <w:rsid w:val="0E582BFE"/>
    <w:rsid w:val="0FEC5879"/>
    <w:rsid w:val="14138E49"/>
    <w:rsid w:val="15C5F50A"/>
    <w:rsid w:val="15F38B50"/>
    <w:rsid w:val="1B557CDD"/>
    <w:rsid w:val="1DF323DA"/>
    <w:rsid w:val="21FCBFE3"/>
    <w:rsid w:val="242DDFF8"/>
    <w:rsid w:val="2AC39339"/>
    <w:rsid w:val="2B738E2D"/>
    <w:rsid w:val="2C642A47"/>
    <w:rsid w:val="2D2CB4D0"/>
    <w:rsid w:val="2D68FF4F"/>
    <w:rsid w:val="30645592"/>
    <w:rsid w:val="31C9A754"/>
    <w:rsid w:val="35014816"/>
    <w:rsid w:val="36E584C6"/>
    <w:rsid w:val="3D2F8154"/>
    <w:rsid w:val="40C45E38"/>
    <w:rsid w:val="421D2FFE"/>
    <w:rsid w:val="442FC458"/>
    <w:rsid w:val="456C6EB2"/>
    <w:rsid w:val="4A9CEFFF"/>
    <w:rsid w:val="4BD2C790"/>
    <w:rsid w:val="4F9BB728"/>
    <w:rsid w:val="5DEA6008"/>
    <w:rsid w:val="6152CA6D"/>
    <w:rsid w:val="62534665"/>
    <w:rsid w:val="63C76167"/>
    <w:rsid w:val="63DB0EE4"/>
    <w:rsid w:val="67C20BF1"/>
    <w:rsid w:val="69462ABE"/>
    <w:rsid w:val="6C05DE08"/>
    <w:rsid w:val="6EC23496"/>
    <w:rsid w:val="6EFE9EAB"/>
    <w:rsid w:val="6F320CAD"/>
    <w:rsid w:val="760EFD31"/>
    <w:rsid w:val="767CE86C"/>
    <w:rsid w:val="79782E01"/>
    <w:rsid w:val="7B7CC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B7185C"/>
  <w15:docId w15:val="{285662E1-74DA-43AD-BD61-900C3AF2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954"/>
    <w:pPr>
      <w:spacing w:after="3" w:line="260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2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D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E75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01F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66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7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6A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720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0BF6"/>
    <w:rPr>
      <w:rFonts w:ascii="Arial" w:eastAsia="Arial" w:hAnsi="Arial" w:cs="Arial"/>
      <w:color w:val="000000"/>
    </w:rPr>
  </w:style>
  <w:style w:type="table" w:styleId="TableGrid0">
    <w:name w:val="Table Grid"/>
    <w:basedOn w:val="TableNormal"/>
    <w:uiPriority w:val="39"/>
    <w:rsid w:val="00CD5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0"/>
    <w:basedOn w:val="TableNormal"/>
    <w:uiPriority w:val="59"/>
    <w:rsid w:val="00F234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2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A56"/>
    <w:rPr>
      <w:rFonts w:ascii="Arial" w:eastAsia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61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61EF"/>
    <w:rPr>
      <w:rFonts w:ascii="Arial" w:eastAsia="Arial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61E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D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4983C1CDB324FB353C95EDF729F94" ma:contentTypeVersion="13" ma:contentTypeDescription="Create a new document." ma:contentTypeScope="" ma:versionID="1d00c9629e75b089eb46bf53c1ab1f3a">
  <xsd:schema xmlns:xsd="http://www.w3.org/2001/XMLSchema" xmlns:xs="http://www.w3.org/2001/XMLSchema" xmlns:p="http://schemas.microsoft.com/office/2006/metadata/properties" xmlns:ns3="571aab09-bd59-41dd-887e-73833abf7e35" xmlns:ns4="3b86f4cb-3c1a-4ad0-be82-0afe0883abdc" targetNamespace="http://schemas.microsoft.com/office/2006/metadata/properties" ma:root="true" ma:fieldsID="0c60bb6beedba287f22a4e93c0a8f0dc" ns3:_="" ns4:_="">
    <xsd:import namespace="571aab09-bd59-41dd-887e-73833abf7e35"/>
    <xsd:import namespace="3b86f4cb-3c1a-4ad0-be82-0afe0883ab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aab09-bd59-41dd-887e-73833abf7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6f4cb-3c1a-4ad0-be82-0afe0883a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C9F91-E660-43A3-843B-710117969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CC6DF-8DE8-4060-A8C9-59633EFD9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556AEA-4E5F-463C-A6C7-15C787690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aab09-bd59-41dd-887e-73833abf7e35"/>
    <ds:schemaRef ds:uri="3b86f4cb-3c1a-4ad0-be82-0afe0883a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E8E445-3DC7-4762-8B66-351132CE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Scott</dc:creator>
  <cp:keywords/>
  <cp:lastModifiedBy>Craig Tunnicliffe</cp:lastModifiedBy>
  <cp:revision>2</cp:revision>
  <cp:lastPrinted>2019-06-19T11:18:00Z</cp:lastPrinted>
  <dcterms:created xsi:type="dcterms:W3CDTF">2023-07-17T01:33:00Z</dcterms:created>
  <dcterms:modified xsi:type="dcterms:W3CDTF">2023-07-17T01:33:00Z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0x0101003A94983C1CDB324FB353C95EDF729F94</vt:lpwstr>
  </property>
</Properties>
</file>